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28"/>
          <w:szCs w:val="28"/>
        </w:rPr>
      </w:pPr>
      <w:r>
        <w:rPr>
          <w:rFonts w:hint="eastAsia" w:ascii="黑体" w:hAnsi="黑体" w:eastAsia="黑体" w:cs="黑体"/>
          <w:sz w:val="28"/>
          <w:szCs w:val="28"/>
        </w:rPr>
        <w:t>附件4</w:t>
      </w:r>
    </w:p>
    <w:p>
      <w:pPr>
        <w:spacing w:line="560" w:lineRule="exact"/>
        <w:jc w:val="center"/>
        <w:rPr>
          <w:rFonts w:ascii="华文中宋" w:hAnsi="华文中宋" w:eastAsia="华文中宋" w:cs="华文中宋"/>
          <w:b/>
          <w:bCs/>
          <w:sz w:val="44"/>
          <w:szCs w:val="44"/>
        </w:rPr>
      </w:pPr>
      <w:bookmarkStart w:id="0" w:name="_GoBack"/>
      <w:r>
        <w:rPr>
          <w:rFonts w:hint="eastAsia" w:ascii="华文中宋" w:hAnsi="华文中宋" w:eastAsia="华文中宋" w:cs="华文中宋"/>
          <w:b/>
          <w:bCs/>
          <w:sz w:val="44"/>
          <w:szCs w:val="44"/>
        </w:rPr>
        <w:t>甲级机构资质延续现场核查表</w:t>
      </w:r>
    </w:p>
    <w:bookmarkEnd w:id="0"/>
    <w:p>
      <w:pPr>
        <w:spacing w:line="560" w:lineRule="exact"/>
        <w:rPr>
          <w:rFonts w:ascii="华文中宋" w:hAnsi="华文中宋" w:eastAsia="华文中宋" w:cs="华文中宋"/>
          <w:b/>
          <w:bCs/>
          <w:sz w:val="44"/>
          <w:szCs w:val="44"/>
        </w:rPr>
      </w:pPr>
      <w:r>
        <w:rPr>
          <w:rFonts w:hint="eastAsia" w:ascii="Times New Roman" w:hAnsi="Times New Roman" w:eastAsia="仿宋_GB2312"/>
          <w:b/>
          <w:sz w:val="32"/>
          <w:szCs w:val="32"/>
        </w:rPr>
        <w:t>机构名称（盖章）：</w:t>
      </w:r>
    </w:p>
    <w:tbl>
      <w:tblPr>
        <w:tblStyle w:val="3"/>
        <w:tblW w:w="1417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192"/>
        <w:gridCol w:w="759"/>
        <w:gridCol w:w="2126"/>
        <w:gridCol w:w="6096"/>
        <w:gridCol w:w="400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trPr>
        <w:tc>
          <w:tcPr>
            <w:tcW w:w="1192" w:type="dxa"/>
            <w:vMerge w:val="restart"/>
            <w:tcBorders>
              <w:right w:val="single" w:color="auto" w:sz="4" w:space="0"/>
            </w:tcBorders>
            <w:vAlign w:val="center"/>
          </w:tcPr>
          <w:p>
            <w:pPr>
              <w:spacing w:line="300" w:lineRule="auto"/>
              <w:jc w:val="center"/>
              <w:rPr>
                <w:rFonts w:ascii="Times New Roman" w:hAnsi="Times New Roman" w:eastAsiaTheme="minorEastAsia"/>
                <w:b/>
                <w:sz w:val="24"/>
                <w:szCs w:val="24"/>
              </w:rPr>
            </w:pPr>
            <w:r>
              <w:rPr>
                <w:rFonts w:ascii="Times New Roman" w:hAnsi="Times New Roman" w:eastAsiaTheme="minorEastAsia"/>
                <w:b/>
                <w:sz w:val="24"/>
                <w:szCs w:val="24"/>
              </w:rPr>
              <w:t>检查类别</w:t>
            </w:r>
          </w:p>
        </w:tc>
        <w:tc>
          <w:tcPr>
            <w:tcW w:w="2885" w:type="dxa"/>
            <w:gridSpan w:val="2"/>
            <w:tcBorders>
              <w:left w:val="single" w:color="auto" w:sz="4" w:space="0"/>
              <w:right w:val="single" w:color="auto" w:sz="4" w:space="0"/>
            </w:tcBorders>
            <w:vAlign w:val="center"/>
          </w:tcPr>
          <w:p>
            <w:pPr>
              <w:spacing w:line="300" w:lineRule="auto"/>
              <w:jc w:val="center"/>
              <w:rPr>
                <w:rFonts w:ascii="Times New Roman" w:hAnsi="Times New Roman" w:eastAsiaTheme="minorEastAsia"/>
                <w:b/>
                <w:sz w:val="24"/>
                <w:szCs w:val="24"/>
              </w:rPr>
            </w:pPr>
            <w:r>
              <w:rPr>
                <w:rFonts w:ascii="Times New Roman" w:hAnsi="Times New Roman" w:eastAsiaTheme="minorEastAsia"/>
                <w:b/>
                <w:sz w:val="24"/>
                <w:szCs w:val="24"/>
              </w:rPr>
              <w:t>检查内容</w:t>
            </w:r>
          </w:p>
        </w:tc>
        <w:tc>
          <w:tcPr>
            <w:tcW w:w="6096" w:type="dxa"/>
            <w:vMerge w:val="restart"/>
            <w:tcBorders>
              <w:left w:val="single" w:color="auto" w:sz="4" w:space="0"/>
            </w:tcBorders>
            <w:vAlign w:val="center"/>
          </w:tcPr>
          <w:p>
            <w:pPr>
              <w:spacing w:line="300" w:lineRule="auto"/>
              <w:jc w:val="center"/>
              <w:rPr>
                <w:rFonts w:ascii="Times New Roman" w:hAnsi="Times New Roman" w:eastAsiaTheme="minorEastAsia"/>
                <w:b/>
                <w:sz w:val="24"/>
                <w:szCs w:val="24"/>
              </w:rPr>
            </w:pPr>
            <w:r>
              <w:rPr>
                <w:rFonts w:ascii="Times New Roman" w:hAnsi="Times New Roman" w:eastAsiaTheme="minorEastAsia"/>
                <w:b/>
                <w:sz w:val="24"/>
                <w:szCs w:val="24"/>
              </w:rPr>
              <w:t>检查方法及要求</w:t>
            </w:r>
          </w:p>
        </w:tc>
        <w:tc>
          <w:tcPr>
            <w:tcW w:w="4001" w:type="dxa"/>
            <w:vMerge w:val="restart"/>
            <w:tcBorders>
              <w:left w:val="single" w:color="auto" w:sz="4" w:space="0"/>
              <w:right w:val="single" w:color="auto" w:sz="4" w:space="0"/>
            </w:tcBorders>
            <w:vAlign w:val="center"/>
          </w:tcPr>
          <w:p>
            <w:pPr>
              <w:spacing w:line="300" w:lineRule="auto"/>
              <w:jc w:val="center"/>
              <w:rPr>
                <w:rFonts w:ascii="Times New Roman" w:hAnsi="Times New Roman" w:eastAsiaTheme="minorEastAsia"/>
                <w:b/>
                <w:sz w:val="24"/>
                <w:szCs w:val="24"/>
              </w:rPr>
            </w:pPr>
            <w:r>
              <w:rPr>
                <w:rFonts w:ascii="Times New Roman" w:hAnsi="Times New Roman" w:eastAsiaTheme="minorEastAsia"/>
                <w:b/>
                <w:sz w:val="24"/>
                <w:szCs w:val="24"/>
              </w:rPr>
              <w:t>检查结果及问题描述</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blHeader/>
        </w:trPr>
        <w:tc>
          <w:tcPr>
            <w:tcW w:w="1192" w:type="dxa"/>
            <w:vMerge w:val="continue"/>
            <w:tcBorders>
              <w:right w:val="single" w:color="auto" w:sz="4" w:space="0"/>
            </w:tcBorders>
            <w:vAlign w:val="center"/>
          </w:tcPr>
          <w:p>
            <w:pPr>
              <w:spacing w:line="300" w:lineRule="auto"/>
              <w:jc w:val="center"/>
              <w:rPr>
                <w:rFonts w:ascii="Times New Roman" w:hAnsi="Times New Roman" w:eastAsiaTheme="minorEastAsia"/>
                <w:b/>
                <w:sz w:val="24"/>
                <w:szCs w:val="24"/>
              </w:rPr>
            </w:pPr>
          </w:p>
        </w:tc>
        <w:tc>
          <w:tcPr>
            <w:tcW w:w="759" w:type="dxa"/>
            <w:tcBorders>
              <w:left w:val="single" w:color="auto" w:sz="4" w:space="0"/>
            </w:tcBorders>
            <w:vAlign w:val="center"/>
          </w:tcPr>
          <w:p>
            <w:pPr>
              <w:spacing w:line="300" w:lineRule="auto"/>
              <w:jc w:val="center"/>
              <w:rPr>
                <w:rFonts w:ascii="Times New Roman" w:hAnsi="Times New Roman" w:eastAsiaTheme="minorEastAsia"/>
                <w:b/>
                <w:sz w:val="24"/>
                <w:szCs w:val="24"/>
              </w:rPr>
            </w:pPr>
            <w:r>
              <w:rPr>
                <w:rFonts w:ascii="Times New Roman" w:hAnsi="Times New Roman" w:eastAsiaTheme="minorEastAsia"/>
                <w:b/>
                <w:sz w:val="24"/>
                <w:szCs w:val="24"/>
              </w:rPr>
              <w:t>序号</w:t>
            </w:r>
          </w:p>
        </w:tc>
        <w:tc>
          <w:tcPr>
            <w:tcW w:w="2126" w:type="dxa"/>
            <w:tcBorders>
              <w:left w:val="single" w:color="auto" w:sz="4" w:space="0"/>
            </w:tcBorders>
            <w:vAlign w:val="center"/>
          </w:tcPr>
          <w:p>
            <w:pPr>
              <w:spacing w:line="300" w:lineRule="auto"/>
              <w:jc w:val="center"/>
              <w:rPr>
                <w:rFonts w:ascii="Times New Roman" w:hAnsi="Times New Roman" w:eastAsiaTheme="minorEastAsia"/>
                <w:b/>
                <w:sz w:val="24"/>
                <w:szCs w:val="24"/>
              </w:rPr>
            </w:pPr>
            <w:r>
              <w:rPr>
                <w:rFonts w:ascii="Times New Roman" w:hAnsi="Times New Roman" w:eastAsiaTheme="minorEastAsia"/>
                <w:b/>
                <w:sz w:val="24"/>
                <w:szCs w:val="24"/>
              </w:rPr>
              <w:t>事项</w:t>
            </w:r>
          </w:p>
        </w:tc>
        <w:tc>
          <w:tcPr>
            <w:tcW w:w="6096" w:type="dxa"/>
            <w:vMerge w:val="continue"/>
            <w:tcBorders>
              <w:left w:val="single" w:color="auto" w:sz="4" w:space="0"/>
            </w:tcBorders>
            <w:vAlign w:val="center"/>
          </w:tcPr>
          <w:p>
            <w:pPr>
              <w:spacing w:line="300" w:lineRule="auto"/>
              <w:jc w:val="center"/>
              <w:rPr>
                <w:rFonts w:ascii="Times New Roman" w:hAnsi="Times New Roman" w:eastAsiaTheme="minorEastAsia"/>
                <w:b/>
                <w:sz w:val="24"/>
                <w:szCs w:val="24"/>
              </w:rPr>
            </w:pPr>
          </w:p>
        </w:tc>
        <w:tc>
          <w:tcPr>
            <w:tcW w:w="4001" w:type="dxa"/>
            <w:vMerge w:val="continue"/>
            <w:tcBorders>
              <w:left w:val="single" w:color="auto" w:sz="4" w:space="0"/>
              <w:right w:val="single" w:color="auto" w:sz="4" w:space="0"/>
            </w:tcBorders>
            <w:vAlign w:val="center"/>
          </w:tcPr>
          <w:p>
            <w:pPr>
              <w:spacing w:line="300" w:lineRule="auto"/>
              <w:jc w:val="center"/>
              <w:rPr>
                <w:rFonts w:ascii="Times New Roman" w:hAnsi="Times New Roman" w:eastAsiaTheme="minorEastAsia"/>
                <w:b/>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restart"/>
            <w:tcBorders>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（一）人员</w:t>
            </w:r>
          </w:p>
        </w:tc>
        <w:tc>
          <w:tcPr>
            <w:tcW w:w="759" w:type="dxa"/>
            <w:tcBorders>
              <w:left w:val="single" w:color="auto" w:sz="4" w:space="0"/>
            </w:tcBorders>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经能力考核合格的职业卫生工程和公共卫生专业人员是否满足资质认可条件。</w:t>
            </w:r>
          </w:p>
        </w:tc>
        <w:tc>
          <w:tcPr>
            <w:tcW w:w="6096" w:type="dxa"/>
            <w:tcBorders>
              <w:left w:val="single" w:color="auto" w:sz="4" w:space="0"/>
            </w:tcBorders>
            <w:vAlign w:val="center"/>
          </w:tcPr>
          <w:p>
            <w:pPr>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职业卫生工程技术人员不少于3名（其中通风相关专业人员不少于1名），且高级技术职称不少于1名；公共卫生专业人员不少于3名，且高级技术职称不少于1名。</w:t>
            </w:r>
          </w:p>
          <w:p>
            <w:pPr>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1.核查职业卫生工程和公共卫生专业人员培训合格证书原件；</w:t>
            </w:r>
          </w:p>
          <w:p>
            <w:pPr>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2.核查职业卫生工程和公共卫生专业人员毕业证书、技术职称证书原件。</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continue"/>
            <w:tcBorders>
              <w:right w:val="single" w:color="auto" w:sz="4" w:space="0"/>
            </w:tcBorders>
            <w:vAlign w:val="center"/>
          </w:tcPr>
          <w:p>
            <w:pPr>
              <w:spacing w:line="300" w:lineRule="auto"/>
              <w:rPr>
                <w:rFonts w:ascii="Times New Roman" w:hAnsi="Times New Roman" w:eastAsiaTheme="minorEastAsia"/>
                <w:sz w:val="24"/>
                <w:szCs w:val="24"/>
              </w:rPr>
            </w:pPr>
          </w:p>
        </w:tc>
        <w:tc>
          <w:tcPr>
            <w:tcW w:w="759" w:type="dxa"/>
            <w:tcBorders>
              <w:left w:val="single" w:color="auto" w:sz="4" w:space="0"/>
            </w:tcBorders>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right w:val="single" w:color="auto" w:sz="4" w:space="0"/>
            </w:tcBorders>
            <w:vAlign w:val="center"/>
          </w:tcPr>
          <w:p>
            <w:pPr>
              <w:spacing w:line="300" w:lineRule="auto"/>
              <w:rPr>
                <w:rFonts w:ascii="Times New Roman" w:hAnsi="Times New Roman" w:eastAsiaTheme="minorEastAsia"/>
                <w:color w:val="FF0000"/>
                <w:sz w:val="24"/>
                <w:szCs w:val="24"/>
              </w:rPr>
            </w:pPr>
            <w:r>
              <w:rPr>
                <w:rFonts w:ascii="Times New Roman" w:hAnsi="Times New Roman" w:eastAsiaTheme="minorEastAsia"/>
                <w:sz w:val="24"/>
                <w:szCs w:val="24"/>
              </w:rPr>
              <w:t>是否具有业务范围所要求的相关行业工程技术人员。</w:t>
            </w:r>
          </w:p>
        </w:tc>
        <w:tc>
          <w:tcPr>
            <w:tcW w:w="6096" w:type="dxa"/>
            <w:tcBorders>
              <w:left w:val="single" w:color="auto" w:sz="4" w:space="0"/>
            </w:tcBorders>
            <w:vAlign w:val="center"/>
          </w:tcPr>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每个业务范围应至少有1名相关行业工程技术人员。</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1.查阅相关工程技术人员技术职称证书原件；</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2.查阅相关人员培训合格证书原件；</w:t>
            </w:r>
          </w:p>
          <w:p>
            <w:pPr>
              <w:spacing w:line="300" w:lineRule="auto"/>
              <w:rPr>
                <w:rFonts w:ascii="Times New Roman" w:hAnsi="Times New Roman" w:eastAsiaTheme="minorEastAsia"/>
                <w:color w:val="FF0000"/>
                <w:sz w:val="24"/>
                <w:szCs w:val="24"/>
              </w:rPr>
            </w:pPr>
            <w:r>
              <w:rPr>
                <w:rFonts w:ascii="Times New Roman" w:hAnsi="Times New Roman" w:eastAsiaTheme="minorEastAsia"/>
                <w:bCs/>
                <w:sz w:val="24"/>
                <w:szCs w:val="24"/>
              </w:rPr>
              <w:t>3.查阅相关人员毕业证书原件（或相关工作经历证明材料，如学术专著、科研论文、科技发明、科技进步奖等）。</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restart"/>
            <w:tcBorders>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（二）仪器设备</w:t>
            </w:r>
          </w:p>
        </w:tc>
        <w:tc>
          <w:tcPr>
            <w:tcW w:w="759" w:type="dxa"/>
            <w:tcBorders>
              <w:left w:val="single" w:color="auto" w:sz="4" w:space="0"/>
              <w:bottom w:val="single" w:color="auto" w:sz="4" w:space="0"/>
            </w:tcBorders>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bottom w:val="single" w:color="auto" w:sz="4" w:space="0"/>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是否按要求对仪器设备进行了定期计量检定或校准。</w:t>
            </w:r>
          </w:p>
        </w:tc>
        <w:tc>
          <w:tcPr>
            <w:tcW w:w="6096" w:type="dxa"/>
            <w:tcBorders>
              <w:left w:val="single" w:color="auto" w:sz="4" w:space="0"/>
            </w:tcBorders>
            <w:vAlign w:val="center"/>
          </w:tcPr>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仪器设备应定期进行计量检定或校准，并贴有相应状态标识。</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1.查阅仪器设备计量检定或校准证书原件；</w:t>
            </w:r>
          </w:p>
          <w:p>
            <w:pPr>
              <w:adjustRightInd w:val="0"/>
              <w:snapToGrid w:val="0"/>
              <w:spacing w:line="300" w:lineRule="auto"/>
              <w:rPr>
                <w:rFonts w:ascii="Times New Roman" w:hAnsi="Times New Roman" w:eastAsiaTheme="minorEastAsia"/>
                <w:sz w:val="24"/>
                <w:szCs w:val="24"/>
              </w:rPr>
            </w:pPr>
            <w:r>
              <w:rPr>
                <w:rFonts w:ascii="Times New Roman" w:hAnsi="Times New Roman" w:eastAsiaTheme="minorEastAsia"/>
                <w:bCs/>
                <w:sz w:val="24"/>
                <w:szCs w:val="24"/>
              </w:rPr>
              <w:t>2.查看计量检定或校准状态标识。</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continue"/>
            <w:tcBorders>
              <w:bottom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c>
          <w:tcPr>
            <w:tcW w:w="759" w:type="dxa"/>
            <w:tcBorders>
              <w:left w:val="single" w:color="auto" w:sz="4" w:space="0"/>
              <w:bottom w:val="single" w:color="auto" w:sz="4" w:space="0"/>
            </w:tcBorders>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bottom w:val="single" w:color="auto" w:sz="4" w:space="0"/>
              <w:right w:val="single" w:color="auto" w:sz="4" w:space="0"/>
            </w:tcBorders>
            <w:vAlign w:val="center"/>
          </w:tcPr>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是否按要求开展了期间核查。</w:t>
            </w:r>
          </w:p>
        </w:tc>
        <w:tc>
          <w:tcPr>
            <w:tcW w:w="6096" w:type="dxa"/>
            <w:tcBorders>
              <w:left w:val="single" w:color="auto" w:sz="4" w:space="0"/>
            </w:tcBorders>
            <w:vAlign w:val="center"/>
          </w:tcPr>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仪器设备在检定周期内应进行运行核查。</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1.查阅仪器设备期间核查计划；</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2.抽查仪器设备期间核查记录。</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restart"/>
            <w:tcBorders>
              <w:top w:val="single" w:color="auto" w:sz="4" w:space="0"/>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（三）工作场所</w:t>
            </w:r>
          </w:p>
        </w:tc>
        <w:tc>
          <w:tcPr>
            <w:tcW w:w="759" w:type="dxa"/>
            <w:tcBorders>
              <w:top w:val="single" w:color="auto" w:sz="4" w:space="0"/>
              <w:left w:val="single" w:color="auto" w:sz="4" w:space="0"/>
            </w:tcBorders>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top w:val="single" w:color="auto" w:sz="4" w:space="0"/>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工作场所（实验室、档案室）面积是否满足资质认可条件。</w:t>
            </w:r>
          </w:p>
        </w:tc>
        <w:tc>
          <w:tcPr>
            <w:tcW w:w="6096" w:type="dxa"/>
            <w:tcBorders>
              <w:left w:val="single" w:color="auto" w:sz="4" w:space="0"/>
            </w:tcBorders>
            <w:vAlign w:val="center"/>
          </w:tcPr>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工作场所面积不少于700平方米，职业卫生检测实验室使用面积不少于300平方米，档案室使用面积不少于40平方米。</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对工作场所进行现场观察估测。必要时，可以对工作场所面积进行实地勘测。</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continue"/>
            <w:tcBorders>
              <w:bottom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c>
          <w:tcPr>
            <w:tcW w:w="759" w:type="dxa"/>
            <w:tcBorders>
              <w:left w:val="single" w:color="auto" w:sz="4" w:space="0"/>
              <w:bottom w:val="single" w:color="auto" w:sz="4" w:space="0"/>
            </w:tcBorders>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bottom w:val="single" w:color="auto" w:sz="4" w:space="0"/>
              <w:right w:val="single" w:color="auto" w:sz="4" w:space="0"/>
            </w:tcBorders>
            <w:vAlign w:val="center"/>
          </w:tcPr>
          <w:p>
            <w:pPr>
              <w:spacing w:line="300" w:lineRule="auto"/>
              <w:rPr>
                <w:rFonts w:ascii="Times New Roman" w:hAnsi="Times New Roman" w:eastAsiaTheme="minorEastAsia"/>
                <w:color w:val="000000"/>
                <w:kern w:val="0"/>
                <w:sz w:val="24"/>
                <w:szCs w:val="24"/>
              </w:rPr>
            </w:pPr>
            <w:r>
              <w:rPr>
                <w:rFonts w:ascii="Times New Roman" w:hAnsi="Times New Roman" w:eastAsiaTheme="minorEastAsia"/>
                <w:color w:val="000000"/>
                <w:kern w:val="0"/>
                <w:sz w:val="24"/>
                <w:szCs w:val="24"/>
              </w:rPr>
              <w:t>检测实验室的布局、安全卫生条件及防护措施是否符合相关要求。</w:t>
            </w:r>
          </w:p>
        </w:tc>
        <w:tc>
          <w:tcPr>
            <w:tcW w:w="6096" w:type="dxa"/>
            <w:tcBorders>
              <w:left w:val="single" w:color="auto" w:sz="4" w:space="0"/>
            </w:tcBorders>
            <w:vAlign w:val="center"/>
          </w:tcPr>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现场察看实验室的布局、环境卫生及安全卫生状况，要求：</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1.实验室应功能分区明确、布局合理、互不干扰；</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2.天平室隔振防振，防止气流干扰，保持称量环境温湿度恒定，设置除静电装置；</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3.高温室应独立设置；</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4.样品前处理室应通风良好，有机样品与无机样品前处理应分开；</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5.设置必要的应急处理措施（洗眼喷淋装置、急救箱等）；</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6.有必要的警示标识，且张贴位置应醒目；</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7.化学试剂管理规范；</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8.气瓶管理规范；</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9.天平室、热解吸实验室、γ能谱室等检测方法或检测仪器有要求的场所的温度、湿度等按要求进行了测量和记录；</w:t>
            </w:r>
          </w:p>
          <w:p>
            <w:pPr>
              <w:adjustRightInd w:val="0"/>
              <w:snapToGrid w:val="0"/>
              <w:spacing w:line="300" w:lineRule="auto"/>
              <w:rPr>
                <w:rFonts w:ascii="Times New Roman" w:hAnsi="Times New Roman" w:eastAsiaTheme="minorEastAsia"/>
                <w:bCs/>
                <w:sz w:val="24"/>
                <w:szCs w:val="24"/>
              </w:rPr>
            </w:pPr>
            <w:r>
              <w:rPr>
                <w:rFonts w:ascii="Times New Roman" w:hAnsi="Times New Roman" w:eastAsiaTheme="minorEastAsia"/>
                <w:bCs/>
                <w:sz w:val="24"/>
                <w:szCs w:val="24"/>
              </w:rPr>
              <w:t>10.放射性标准物质应规范保存，操作非密封放射性同位素的实验室地面、实验台应便于去除放射性污染。</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bCs/>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restart"/>
            <w:tcBorders>
              <w:top w:val="single" w:color="auto" w:sz="4" w:space="0"/>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（四）技术服务管理</w:t>
            </w:r>
          </w:p>
        </w:tc>
        <w:tc>
          <w:tcPr>
            <w:tcW w:w="759" w:type="dxa"/>
            <w:tcBorders>
              <w:top w:val="single" w:color="auto" w:sz="4" w:space="0"/>
            </w:tcBorders>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top w:val="single" w:color="auto" w:sz="4" w:space="0"/>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是否制定并实施了人员培训、内审和管理评审等年度计划。</w:t>
            </w:r>
          </w:p>
        </w:tc>
        <w:tc>
          <w:tcPr>
            <w:tcW w:w="6096" w:type="dxa"/>
            <w:tcBorders>
              <w:lef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查阅人员培训、内审和管理评审等年度计划和实施记录。</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trPr>
        <w:tc>
          <w:tcPr>
            <w:tcW w:w="1192" w:type="dxa"/>
            <w:vMerge w:val="continue"/>
            <w:tcBorders>
              <w:right w:val="single" w:color="auto" w:sz="4" w:space="0"/>
            </w:tcBorders>
            <w:vAlign w:val="center"/>
          </w:tcPr>
          <w:p>
            <w:pPr>
              <w:spacing w:line="300" w:lineRule="auto"/>
              <w:rPr>
                <w:rFonts w:ascii="Times New Roman" w:hAnsi="Times New Roman" w:eastAsiaTheme="minorEastAsia"/>
                <w:sz w:val="24"/>
                <w:szCs w:val="24"/>
              </w:rPr>
            </w:pPr>
          </w:p>
        </w:tc>
        <w:tc>
          <w:tcPr>
            <w:tcW w:w="759" w:type="dxa"/>
            <w:vAlign w:val="center"/>
          </w:tcPr>
          <w:p>
            <w:pPr>
              <w:numPr>
                <w:ilvl w:val="0"/>
                <w:numId w:val="1"/>
              </w:numPr>
              <w:spacing w:line="300" w:lineRule="auto"/>
              <w:jc w:val="center"/>
              <w:rPr>
                <w:rFonts w:ascii="Times New Roman" w:hAnsi="Times New Roman" w:eastAsiaTheme="minorEastAsia"/>
                <w:sz w:val="24"/>
                <w:szCs w:val="24"/>
              </w:rPr>
            </w:pPr>
          </w:p>
        </w:tc>
        <w:tc>
          <w:tcPr>
            <w:tcW w:w="2126" w:type="dxa"/>
            <w:tcBorders>
              <w:righ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是否按规范要求进行了职业病危害评价报告信息公开。</w:t>
            </w:r>
          </w:p>
        </w:tc>
        <w:tc>
          <w:tcPr>
            <w:tcW w:w="6096" w:type="dxa"/>
            <w:tcBorders>
              <w:left w:val="single" w:color="auto" w:sz="4" w:space="0"/>
            </w:tcBorders>
            <w:vAlign w:val="center"/>
          </w:tcPr>
          <w:p>
            <w:pPr>
              <w:spacing w:line="300" w:lineRule="auto"/>
              <w:rPr>
                <w:rFonts w:ascii="Times New Roman" w:hAnsi="Times New Roman" w:eastAsiaTheme="minorEastAsia"/>
                <w:sz w:val="24"/>
                <w:szCs w:val="24"/>
              </w:rPr>
            </w:pPr>
            <w:r>
              <w:rPr>
                <w:rFonts w:ascii="Times New Roman" w:hAnsi="Times New Roman" w:eastAsiaTheme="minorEastAsia"/>
                <w:sz w:val="24"/>
                <w:szCs w:val="24"/>
              </w:rPr>
              <w:t>查阅评价报告网上信息公开记录（重点查阅2016年以来完成的评价报告）。</w:t>
            </w:r>
          </w:p>
        </w:tc>
        <w:tc>
          <w:tcPr>
            <w:tcW w:w="4001" w:type="dxa"/>
            <w:tcBorders>
              <w:left w:val="single" w:color="auto" w:sz="4" w:space="0"/>
              <w:right w:val="single" w:color="auto" w:sz="4" w:space="0"/>
            </w:tcBorders>
            <w:vAlign w:val="center"/>
          </w:tcPr>
          <w:p>
            <w:pPr>
              <w:spacing w:line="300" w:lineRule="auto"/>
              <w:rPr>
                <w:rFonts w:ascii="Times New Roman" w:hAnsi="Times New Roman" w:eastAsiaTheme="minorEastAsia"/>
                <w:sz w:val="24"/>
                <w:szCs w:val="24"/>
              </w:rPr>
            </w:pPr>
          </w:p>
        </w:tc>
      </w:tr>
    </w:tbl>
    <w:p>
      <w:r>
        <w:rPr>
          <w:rFonts w:hint="eastAsia" w:ascii="Times New Roman" w:hAnsi="Times New Roman" w:eastAsia="仿宋_GB2312"/>
          <w:b/>
          <w:sz w:val="32"/>
          <w:szCs w:val="32"/>
        </w:rPr>
        <w:t>核查组成员：</w:t>
      </w:r>
      <w:r>
        <w:rPr>
          <w:rFonts w:ascii="Times New Roman" w:hAnsi="Times New Roman" w:eastAsia="仿宋_GB2312"/>
          <w:b/>
          <w:sz w:val="32"/>
          <w:szCs w:val="32"/>
        </w:rPr>
        <w:t xml:space="preserve">                     </w:t>
      </w:r>
      <w:r>
        <w:rPr>
          <w:rFonts w:hint="eastAsia" w:ascii="Times New Roman" w:hAnsi="Times New Roman" w:eastAsia="仿宋_GB2312"/>
          <w:b/>
          <w:sz w:val="32"/>
          <w:szCs w:val="32"/>
        </w:rPr>
        <w:t>被核查单位负责人：</w:t>
      </w:r>
      <w:r>
        <w:rPr>
          <w:rFonts w:ascii="Times New Roman" w:hAnsi="Times New Roman" w:eastAsia="仿宋_GB2312"/>
          <w:b/>
          <w:sz w:val="32"/>
          <w:szCs w:val="32"/>
        </w:rPr>
        <w:t xml:space="preserve">                   </w:t>
      </w:r>
      <w:r>
        <w:rPr>
          <w:rFonts w:hint="eastAsia" w:ascii="Times New Roman" w:hAnsi="Times New Roman" w:eastAsia="仿宋_GB2312"/>
          <w:b/>
          <w:sz w:val="32"/>
          <w:szCs w:val="32"/>
        </w:rPr>
        <w:t>年</w:t>
      </w:r>
      <w:r>
        <w:rPr>
          <w:rFonts w:ascii="Times New Roman" w:hAnsi="Times New Roman" w:eastAsia="仿宋_GB2312"/>
          <w:b/>
          <w:sz w:val="32"/>
          <w:szCs w:val="32"/>
        </w:rPr>
        <w:t xml:space="preserve">  </w:t>
      </w:r>
      <w:r>
        <w:rPr>
          <w:rFonts w:hint="eastAsia" w:ascii="Times New Roman" w:hAnsi="Times New Roman" w:eastAsia="仿宋_GB2312"/>
          <w:b/>
          <w:sz w:val="32"/>
          <w:szCs w:val="32"/>
        </w:rPr>
        <w:t>月</w:t>
      </w:r>
      <w:r>
        <w:rPr>
          <w:rFonts w:ascii="Times New Roman" w:hAnsi="Times New Roman" w:eastAsia="仿宋_GB2312"/>
          <w:b/>
          <w:sz w:val="32"/>
          <w:szCs w:val="32"/>
        </w:rPr>
        <w:t xml:space="preserve">  </w:t>
      </w:r>
      <w:r>
        <w:rPr>
          <w:rFonts w:hint="eastAsia" w:ascii="Times New Roman" w:hAnsi="Times New Roman" w:eastAsia="仿宋_GB2312"/>
          <w:b/>
          <w:sz w:val="32"/>
          <w:szCs w:val="32"/>
        </w:rPr>
        <w:t>日</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Calibri Light">
    <w:altName w:val="Calibri"/>
    <w:panose1 w:val="020F0302020204030204"/>
    <w:charset w:val="00"/>
    <w:family w:val="swiss"/>
    <w:pitch w:val="default"/>
    <w:sig w:usb0="00000000" w:usb1="00000000" w:usb2="00000000" w:usb3="00000000" w:csb0="0000019F" w:csb1="00000000"/>
  </w:font>
  <w:font w:name="隶书">
    <w:panose1 w:val="0201050906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36CB0"/>
    <w:multiLevelType w:val="multilevel"/>
    <w:tmpl w:val="5C336CB0"/>
    <w:lvl w:ilvl="0" w:tentative="0">
      <w:start w:val="1"/>
      <w:numFmt w:val="decimal"/>
      <w:lvlText w:val="%1"/>
      <w:lvlJc w:val="left"/>
      <w:pPr>
        <w:tabs>
          <w:tab w:val="left" w:pos="170"/>
        </w:tabs>
        <w:ind w:left="170" w:hanging="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2021C4"/>
    <w:rsid w:val="162021C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2017-03-08T00:56:00Z</dcterms:created>
  <dc:creator>Administrator</dc:creator>
  <cp:lastModifiedBy>Administrator</cp:lastModifiedBy>
  <dcterms:modified xsi:type="dcterms:W3CDTF">2017-03-08T00:57:01Z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