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附件2</w:t>
      </w:r>
    </w:p>
    <w:p>
      <w:pPr>
        <w:jc w:val="center"/>
        <w:rPr>
          <w:rFonts w:ascii="华文中宋" w:hAnsi="华文中宋" w:eastAsia="华文中宋" w:cs="华文中宋"/>
          <w:color w:val="000000"/>
          <w:sz w:val="40"/>
          <w:szCs w:val="40"/>
          <w:shd w:val="clear" w:color="auto" w:fill="FFFFFF"/>
        </w:rPr>
      </w:pPr>
      <w:bookmarkStart w:id="0" w:name="_GoBack"/>
      <w:r>
        <w:rPr>
          <w:rFonts w:hint="eastAsia" w:ascii="华文中宋" w:hAnsi="华文中宋" w:eastAsia="华文中宋" w:cs="华文中宋"/>
          <w:color w:val="000000"/>
          <w:sz w:val="40"/>
          <w:szCs w:val="40"/>
          <w:shd w:val="clear" w:color="auto" w:fill="FFFFFF"/>
        </w:rPr>
        <w:t>职业卫生技术服务机构汇总表</w:t>
      </w:r>
      <w:bookmarkEnd w:id="0"/>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填表单位（盖章）：                     填表人：       联系电话：         填表日期：   年   月   日               </w:t>
      </w:r>
    </w:p>
    <w:tbl>
      <w:tblPr>
        <w:tblStyle w:val="4"/>
        <w:tblW w:w="14064" w:type="dxa"/>
        <w:jc w:val="right"/>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71"/>
        <w:gridCol w:w="1050"/>
        <w:gridCol w:w="782"/>
        <w:gridCol w:w="922"/>
        <w:gridCol w:w="1435"/>
        <w:gridCol w:w="1136"/>
        <w:gridCol w:w="675"/>
        <w:gridCol w:w="921"/>
        <w:gridCol w:w="983"/>
        <w:gridCol w:w="889"/>
        <w:gridCol w:w="888"/>
        <w:gridCol w:w="889"/>
        <w:gridCol w:w="888"/>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blHeader/>
          <w:jc w:val="right"/>
        </w:trPr>
        <w:tc>
          <w:tcPr>
            <w:tcW w:w="675" w:type="dxa"/>
            <w:vAlign w:val="center"/>
          </w:tcPr>
          <w:p>
            <w:pPr>
              <w:spacing w:line="30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071"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机构</w:t>
            </w:r>
          </w:p>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名称</w:t>
            </w:r>
          </w:p>
        </w:tc>
        <w:tc>
          <w:tcPr>
            <w:tcW w:w="1050"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资质证书编号</w:t>
            </w:r>
            <w:r>
              <w:rPr>
                <w:rFonts w:hint="eastAsia" w:ascii="仿宋_GB2312" w:hAnsi="仿宋_GB2312" w:eastAsia="仿宋_GB2312" w:cs="仿宋_GB2312"/>
                <w:b/>
                <w:bCs/>
                <w:kern w:val="0"/>
                <w:sz w:val="28"/>
                <w:szCs w:val="28"/>
                <w:vertAlign w:val="superscript"/>
              </w:rPr>
              <w:t>1</w:t>
            </w:r>
          </w:p>
        </w:tc>
        <w:tc>
          <w:tcPr>
            <w:tcW w:w="782" w:type="dxa"/>
            <w:vAlign w:val="center"/>
          </w:tcPr>
          <w:p>
            <w:pPr>
              <w:spacing w:line="300" w:lineRule="exact"/>
              <w:jc w:val="center"/>
            </w:pPr>
            <w:r>
              <w:rPr>
                <w:rFonts w:hint="eastAsia" w:ascii="仿宋_GB2312" w:hAnsi="仿宋_GB2312" w:eastAsia="仿宋_GB2312" w:cs="仿宋_GB2312"/>
                <w:b/>
                <w:bCs/>
                <w:kern w:val="0"/>
                <w:sz w:val="28"/>
                <w:szCs w:val="28"/>
              </w:rPr>
              <w:t>资质等级</w:t>
            </w:r>
            <w:r>
              <w:rPr>
                <w:rFonts w:hint="eastAsia" w:ascii="仿宋_GB2312" w:hAnsi="仿宋_GB2312" w:eastAsia="仿宋_GB2312" w:cs="仿宋_GB2312"/>
                <w:b/>
                <w:bCs/>
                <w:kern w:val="0"/>
                <w:sz w:val="28"/>
                <w:szCs w:val="28"/>
                <w:vertAlign w:val="superscript"/>
              </w:rPr>
              <w:t>2</w:t>
            </w:r>
          </w:p>
        </w:tc>
        <w:tc>
          <w:tcPr>
            <w:tcW w:w="922" w:type="dxa"/>
            <w:vAlign w:val="center"/>
          </w:tcPr>
          <w:p>
            <w:pPr>
              <w:spacing w:line="300" w:lineRule="exact"/>
              <w:jc w:val="center"/>
            </w:pPr>
            <w:r>
              <w:rPr>
                <w:rFonts w:hint="eastAsia" w:ascii="仿宋_GB2312" w:hAnsi="仿宋_GB2312" w:eastAsia="仿宋_GB2312" w:cs="仿宋_GB2312"/>
                <w:b/>
                <w:bCs/>
                <w:kern w:val="0"/>
                <w:sz w:val="28"/>
                <w:szCs w:val="28"/>
              </w:rPr>
              <w:t>证书有效期</w:t>
            </w:r>
          </w:p>
        </w:tc>
        <w:tc>
          <w:tcPr>
            <w:tcW w:w="1435"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业务范围</w:t>
            </w:r>
          </w:p>
        </w:tc>
        <w:tc>
          <w:tcPr>
            <w:tcW w:w="1136"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经培训合格专业技术人员数</w:t>
            </w:r>
            <w:r>
              <w:rPr>
                <w:rFonts w:hint="eastAsia" w:ascii="仿宋_GB2312" w:hAnsi="仿宋_GB2312" w:eastAsia="仿宋_GB2312" w:cs="仿宋_GB2312"/>
                <w:b/>
                <w:bCs/>
                <w:kern w:val="0"/>
                <w:sz w:val="28"/>
                <w:szCs w:val="28"/>
                <w:vertAlign w:val="superscript"/>
              </w:rPr>
              <w:t>3</w:t>
            </w:r>
          </w:p>
        </w:tc>
        <w:tc>
          <w:tcPr>
            <w:tcW w:w="675"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机构类型</w:t>
            </w:r>
            <w:r>
              <w:rPr>
                <w:rFonts w:hint="eastAsia" w:ascii="仿宋_GB2312" w:hAnsi="仿宋_GB2312" w:eastAsia="仿宋_GB2312" w:cs="仿宋_GB2312"/>
                <w:b/>
                <w:bCs/>
                <w:kern w:val="0"/>
                <w:sz w:val="28"/>
                <w:szCs w:val="28"/>
                <w:vertAlign w:val="superscript"/>
              </w:rPr>
              <w:t>4</w:t>
            </w:r>
          </w:p>
        </w:tc>
        <w:tc>
          <w:tcPr>
            <w:tcW w:w="921"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首次资质认可机关</w:t>
            </w:r>
            <w:r>
              <w:rPr>
                <w:rFonts w:hint="eastAsia" w:ascii="仿宋_GB2312" w:hAnsi="仿宋_GB2312" w:eastAsia="仿宋_GB2312" w:cs="仿宋_GB2312"/>
                <w:b/>
                <w:bCs/>
                <w:kern w:val="0"/>
                <w:sz w:val="28"/>
                <w:szCs w:val="28"/>
                <w:vertAlign w:val="superscript"/>
              </w:rPr>
              <w:t>5</w:t>
            </w:r>
          </w:p>
        </w:tc>
        <w:tc>
          <w:tcPr>
            <w:tcW w:w="983"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2017年完成的评价项目数</w:t>
            </w:r>
            <w:r>
              <w:rPr>
                <w:rFonts w:hint="eastAsia" w:ascii="仿宋_GB2312" w:hAnsi="仿宋_GB2312" w:eastAsia="仿宋_GB2312" w:cs="仿宋_GB2312"/>
                <w:b/>
                <w:bCs/>
                <w:kern w:val="0"/>
                <w:sz w:val="28"/>
                <w:szCs w:val="28"/>
                <w:vertAlign w:val="superscript"/>
              </w:rPr>
              <w:t>6</w:t>
            </w:r>
          </w:p>
        </w:tc>
        <w:tc>
          <w:tcPr>
            <w:tcW w:w="889"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2017年完成的检测项目数</w:t>
            </w:r>
            <w:r>
              <w:rPr>
                <w:rFonts w:hint="eastAsia" w:ascii="仿宋_GB2312" w:hAnsi="仿宋_GB2312" w:eastAsia="仿宋_GB2312" w:cs="仿宋_GB2312"/>
                <w:b/>
                <w:bCs/>
                <w:kern w:val="0"/>
                <w:sz w:val="28"/>
                <w:szCs w:val="28"/>
                <w:vertAlign w:val="superscript"/>
              </w:rPr>
              <w:t>7</w:t>
            </w:r>
          </w:p>
        </w:tc>
        <w:tc>
          <w:tcPr>
            <w:tcW w:w="888"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安全评价资质等级</w:t>
            </w:r>
            <w:r>
              <w:rPr>
                <w:rFonts w:hint="eastAsia" w:ascii="仿宋_GB2312" w:hAnsi="仿宋_GB2312" w:eastAsia="仿宋_GB2312" w:cs="仿宋_GB2312"/>
                <w:b/>
                <w:bCs/>
                <w:kern w:val="0"/>
                <w:sz w:val="28"/>
                <w:szCs w:val="28"/>
                <w:vertAlign w:val="superscript"/>
              </w:rPr>
              <w:t>8</w:t>
            </w:r>
          </w:p>
        </w:tc>
        <w:tc>
          <w:tcPr>
            <w:tcW w:w="889"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安全生产检测检验资质等级</w:t>
            </w:r>
            <w:r>
              <w:rPr>
                <w:rFonts w:hint="eastAsia" w:ascii="仿宋_GB2312" w:hAnsi="仿宋_GB2312" w:eastAsia="仿宋_GB2312" w:cs="仿宋_GB2312"/>
                <w:b/>
                <w:bCs/>
                <w:kern w:val="0"/>
                <w:sz w:val="28"/>
                <w:szCs w:val="28"/>
                <w:vertAlign w:val="superscript"/>
              </w:rPr>
              <w:t>9</w:t>
            </w:r>
          </w:p>
        </w:tc>
        <w:tc>
          <w:tcPr>
            <w:tcW w:w="888"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联系人</w:t>
            </w:r>
          </w:p>
        </w:tc>
        <w:tc>
          <w:tcPr>
            <w:tcW w:w="860" w:type="dxa"/>
            <w:vAlign w:val="center"/>
          </w:tcPr>
          <w:p>
            <w:pPr>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right"/>
        </w:trPr>
        <w:tc>
          <w:tcPr>
            <w:tcW w:w="675" w:type="dxa"/>
            <w:vAlign w:val="center"/>
          </w:tcPr>
          <w:p>
            <w:pPr>
              <w:numPr>
                <w:ilvl w:val="0"/>
                <w:numId w:val="0"/>
              </w:numPr>
              <w:autoSpaceDN w:val="0"/>
              <w:spacing w:line="300" w:lineRule="exact"/>
              <w:ind w:leftChars="0"/>
              <w:jc w:val="both"/>
              <w:textAlignment w:val="center"/>
              <w:rPr>
                <w:rFonts w:ascii="仿宋_GB2312" w:hAnsi="仿宋_GB2312" w:eastAsia="仿宋_GB2312" w:cs="仿宋_GB2312"/>
                <w:sz w:val="28"/>
                <w:szCs w:val="28"/>
              </w:rPr>
            </w:pPr>
          </w:p>
        </w:tc>
        <w:tc>
          <w:tcPr>
            <w:tcW w:w="1071" w:type="dxa"/>
            <w:vAlign w:val="center"/>
          </w:tcPr>
          <w:p>
            <w:pPr>
              <w:spacing w:line="300" w:lineRule="exact"/>
              <w:jc w:val="center"/>
              <w:rPr>
                <w:rFonts w:ascii="仿宋_GB2312" w:hAnsi="仿宋_GB2312" w:eastAsia="仿宋_GB2312" w:cs="仿宋_GB2312"/>
                <w:color w:val="000000"/>
                <w:sz w:val="28"/>
                <w:szCs w:val="28"/>
              </w:rPr>
            </w:pPr>
          </w:p>
        </w:tc>
        <w:tc>
          <w:tcPr>
            <w:tcW w:w="1050" w:type="dxa"/>
            <w:vAlign w:val="center"/>
          </w:tcPr>
          <w:p>
            <w:pPr>
              <w:spacing w:line="300" w:lineRule="exact"/>
              <w:jc w:val="center"/>
              <w:rPr>
                <w:rFonts w:ascii="仿宋_GB2312" w:hAnsi="仿宋_GB2312" w:eastAsia="仿宋_GB2312" w:cs="仿宋_GB2312"/>
                <w:color w:val="000000"/>
                <w:sz w:val="28"/>
                <w:szCs w:val="28"/>
              </w:rPr>
            </w:pPr>
          </w:p>
        </w:tc>
        <w:tc>
          <w:tcPr>
            <w:tcW w:w="782" w:type="dxa"/>
            <w:vAlign w:val="center"/>
          </w:tcPr>
          <w:p>
            <w:pPr>
              <w:spacing w:line="300" w:lineRule="exact"/>
              <w:jc w:val="center"/>
            </w:pPr>
          </w:p>
        </w:tc>
        <w:tc>
          <w:tcPr>
            <w:tcW w:w="922" w:type="dxa"/>
            <w:vAlign w:val="center"/>
          </w:tcPr>
          <w:p>
            <w:pPr>
              <w:spacing w:line="300" w:lineRule="exact"/>
              <w:jc w:val="center"/>
            </w:pPr>
          </w:p>
        </w:tc>
        <w:tc>
          <w:tcPr>
            <w:tcW w:w="1435" w:type="dxa"/>
            <w:vAlign w:val="center"/>
          </w:tcPr>
          <w:p>
            <w:pPr>
              <w:spacing w:line="300" w:lineRule="exact"/>
              <w:rPr>
                <w:rFonts w:ascii="仿宋_GB2312" w:hAnsi="仿宋_GB2312" w:eastAsia="仿宋_GB2312" w:cs="仿宋_GB2312"/>
                <w:color w:val="000000"/>
                <w:sz w:val="28"/>
                <w:szCs w:val="28"/>
              </w:rPr>
            </w:pPr>
          </w:p>
        </w:tc>
        <w:tc>
          <w:tcPr>
            <w:tcW w:w="1136" w:type="dxa"/>
            <w:vAlign w:val="center"/>
          </w:tcPr>
          <w:p>
            <w:pPr>
              <w:spacing w:line="300" w:lineRule="exact"/>
              <w:jc w:val="center"/>
              <w:rPr>
                <w:rFonts w:ascii="仿宋_GB2312" w:hAnsi="仿宋_GB2312" w:eastAsia="仿宋_GB2312" w:cs="仿宋_GB2312"/>
                <w:color w:val="000000"/>
                <w:sz w:val="28"/>
                <w:szCs w:val="28"/>
              </w:rPr>
            </w:pPr>
          </w:p>
        </w:tc>
        <w:tc>
          <w:tcPr>
            <w:tcW w:w="675" w:type="dxa"/>
            <w:vAlign w:val="center"/>
          </w:tcPr>
          <w:p>
            <w:pPr>
              <w:spacing w:line="300" w:lineRule="exact"/>
              <w:jc w:val="center"/>
              <w:rPr>
                <w:rFonts w:ascii="仿宋_GB2312" w:hAnsi="仿宋_GB2312" w:eastAsia="仿宋_GB2312" w:cs="仿宋_GB2312"/>
                <w:color w:val="000000"/>
                <w:sz w:val="28"/>
                <w:szCs w:val="28"/>
              </w:rPr>
            </w:pPr>
          </w:p>
        </w:tc>
        <w:tc>
          <w:tcPr>
            <w:tcW w:w="921" w:type="dxa"/>
            <w:vAlign w:val="center"/>
          </w:tcPr>
          <w:p>
            <w:pPr>
              <w:spacing w:line="300" w:lineRule="exact"/>
              <w:jc w:val="center"/>
              <w:rPr>
                <w:rFonts w:ascii="仿宋_GB2312" w:hAnsi="仿宋_GB2312" w:eastAsia="仿宋_GB2312" w:cs="仿宋_GB2312"/>
                <w:color w:val="000000"/>
                <w:sz w:val="28"/>
                <w:szCs w:val="28"/>
              </w:rPr>
            </w:pPr>
          </w:p>
        </w:tc>
        <w:tc>
          <w:tcPr>
            <w:tcW w:w="983"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60" w:type="dxa"/>
            <w:vAlign w:val="center"/>
          </w:tcPr>
          <w:p>
            <w:pPr>
              <w:spacing w:line="3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right"/>
        </w:trPr>
        <w:tc>
          <w:tcPr>
            <w:tcW w:w="675" w:type="dxa"/>
            <w:vAlign w:val="center"/>
          </w:tcPr>
          <w:p>
            <w:pPr>
              <w:numPr>
                <w:ilvl w:val="0"/>
                <w:numId w:val="0"/>
              </w:numPr>
              <w:autoSpaceDN w:val="0"/>
              <w:spacing w:line="300" w:lineRule="exact"/>
              <w:ind w:leftChars="0"/>
              <w:jc w:val="both"/>
              <w:textAlignment w:val="center"/>
              <w:rPr>
                <w:rFonts w:ascii="仿宋_GB2312" w:hAnsi="仿宋_GB2312" w:eastAsia="仿宋_GB2312" w:cs="仿宋_GB2312"/>
                <w:sz w:val="28"/>
                <w:szCs w:val="28"/>
              </w:rPr>
            </w:pPr>
          </w:p>
        </w:tc>
        <w:tc>
          <w:tcPr>
            <w:tcW w:w="1071" w:type="dxa"/>
            <w:vAlign w:val="center"/>
          </w:tcPr>
          <w:p>
            <w:pPr>
              <w:spacing w:line="300" w:lineRule="exact"/>
              <w:jc w:val="center"/>
              <w:rPr>
                <w:rFonts w:ascii="仿宋_GB2312" w:hAnsi="仿宋_GB2312" w:eastAsia="仿宋_GB2312" w:cs="仿宋_GB2312"/>
                <w:color w:val="000000"/>
                <w:sz w:val="28"/>
                <w:szCs w:val="28"/>
              </w:rPr>
            </w:pPr>
          </w:p>
        </w:tc>
        <w:tc>
          <w:tcPr>
            <w:tcW w:w="1050" w:type="dxa"/>
            <w:vAlign w:val="center"/>
          </w:tcPr>
          <w:p>
            <w:pPr>
              <w:spacing w:line="300" w:lineRule="exact"/>
              <w:jc w:val="center"/>
              <w:rPr>
                <w:rFonts w:ascii="仿宋_GB2312" w:hAnsi="仿宋_GB2312" w:eastAsia="仿宋_GB2312" w:cs="仿宋_GB2312"/>
                <w:color w:val="000000"/>
                <w:sz w:val="28"/>
                <w:szCs w:val="28"/>
              </w:rPr>
            </w:pPr>
          </w:p>
        </w:tc>
        <w:tc>
          <w:tcPr>
            <w:tcW w:w="782" w:type="dxa"/>
            <w:vAlign w:val="center"/>
          </w:tcPr>
          <w:p>
            <w:pPr>
              <w:spacing w:line="300" w:lineRule="exact"/>
              <w:jc w:val="center"/>
            </w:pPr>
          </w:p>
        </w:tc>
        <w:tc>
          <w:tcPr>
            <w:tcW w:w="922" w:type="dxa"/>
            <w:vAlign w:val="center"/>
          </w:tcPr>
          <w:p>
            <w:pPr>
              <w:spacing w:line="300" w:lineRule="exact"/>
              <w:jc w:val="center"/>
            </w:pPr>
          </w:p>
        </w:tc>
        <w:tc>
          <w:tcPr>
            <w:tcW w:w="1435" w:type="dxa"/>
            <w:vAlign w:val="center"/>
          </w:tcPr>
          <w:p>
            <w:pPr>
              <w:spacing w:line="300" w:lineRule="exact"/>
              <w:rPr>
                <w:rFonts w:ascii="仿宋_GB2312" w:hAnsi="仿宋_GB2312" w:eastAsia="仿宋_GB2312" w:cs="仿宋_GB2312"/>
                <w:color w:val="000000"/>
                <w:sz w:val="28"/>
                <w:szCs w:val="28"/>
              </w:rPr>
            </w:pPr>
          </w:p>
        </w:tc>
        <w:tc>
          <w:tcPr>
            <w:tcW w:w="1136" w:type="dxa"/>
            <w:vAlign w:val="center"/>
          </w:tcPr>
          <w:p>
            <w:pPr>
              <w:spacing w:line="300" w:lineRule="exact"/>
              <w:jc w:val="center"/>
              <w:rPr>
                <w:rFonts w:ascii="仿宋_GB2312" w:hAnsi="仿宋_GB2312" w:eastAsia="仿宋_GB2312" w:cs="仿宋_GB2312"/>
                <w:color w:val="000000"/>
                <w:sz w:val="28"/>
                <w:szCs w:val="28"/>
              </w:rPr>
            </w:pPr>
          </w:p>
        </w:tc>
        <w:tc>
          <w:tcPr>
            <w:tcW w:w="675" w:type="dxa"/>
            <w:vAlign w:val="center"/>
          </w:tcPr>
          <w:p>
            <w:pPr>
              <w:spacing w:line="300" w:lineRule="exact"/>
              <w:jc w:val="center"/>
              <w:rPr>
                <w:rFonts w:ascii="仿宋_GB2312" w:hAnsi="仿宋_GB2312" w:eastAsia="仿宋_GB2312" w:cs="仿宋_GB2312"/>
                <w:color w:val="000000"/>
                <w:sz w:val="28"/>
                <w:szCs w:val="28"/>
              </w:rPr>
            </w:pPr>
          </w:p>
        </w:tc>
        <w:tc>
          <w:tcPr>
            <w:tcW w:w="921" w:type="dxa"/>
            <w:vAlign w:val="center"/>
          </w:tcPr>
          <w:p>
            <w:pPr>
              <w:spacing w:line="300" w:lineRule="exact"/>
              <w:jc w:val="center"/>
              <w:rPr>
                <w:rFonts w:ascii="仿宋_GB2312" w:hAnsi="仿宋_GB2312" w:eastAsia="仿宋_GB2312" w:cs="仿宋_GB2312"/>
                <w:color w:val="000000"/>
                <w:sz w:val="28"/>
                <w:szCs w:val="28"/>
              </w:rPr>
            </w:pPr>
          </w:p>
        </w:tc>
        <w:tc>
          <w:tcPr>
            <w:tcW w:w="983"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60" w:type="dxa"/>
            <w:vAlign w:val="center"/>
          </w:tcPr>
          <w:p>
            <w:pPr>
              <w:spacing w:line="3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right"/>
        </w:trPr>
        <w:tc>
          <w:tcPr>
            <w:tcW w:w="675" w:type="dxa"/>
            <w:vAlign w:val="center"/>
          </w:tcPr>
          <w:p>
            <w:pPr>
              <w:numPr>
                <w:ilvl w:val="0"/>
                <w:numId w:val="0"/>
              </w:numPr>
              <w:autoSpaceDN w:val="0"/>
              <w:spacing w:line="300" w:lineRule="exact"/>
              <w:ind w:leftChars="0"/>
              <w:jc w:val="both"/>
              <w:textAlignment w:val="center"/>
              <w:rPr>
                <w:rFonts w:ascii="仿宋_GB2312" w:hAnsi="仿宋_GB2312" w:eastAsia="仿宋_GB2312" w:cs="仿宋_GB2312"/>
                <w:sz w:val="28"/>
                <w:szCs w:val="28"/>
              </w:rPr>
            </w:pPr>
          </w:p>
        </w:tc>
        <w:tc>
          <w:tcPr>
            <w:tcW w:w="1071" w:type="dxa"/>
            <w:vAlign w:val="center"/>
          </w:tcPr>
          <w:p>
            <w:pPr>
              <w:spacing w:line="300" w:lineRule="exact"/>
              <w:jc w:val="center"/>
              <w:rPr>
                <w:rFonts w:ascii="仿宋_GB2312" w:hAnsi="仿宋_GB2312" w:eastAsia="仿宋_GB2312" w:cs="仿宋_GB2312"/>
                <w:color w:val="000000"/>
                <w:sz w:val="28"/>
                <w:szCs w:val="28"/>
              </w:rPr>
            </w:pPr>
          </w:p>
        </w:tc>
        <w:tc>
          <w:tcPr>
            <w:tcW w:w="1050" w:type="dxa"/>
            <w:vAlign w:val="center"/>
          </w:tcPr>
          <w:p>
            <w:pPr>
              <w:spacing w:line="300" w:lineRule="exact"/>
              <w:jc w:val="center"/>
              <w:rPr>
                <w:rFonts w:ascii="仿宋_GB2312" w:hAnsi="仿宋_GB2312" w:eastAsia="仿宋_GB2312" w:cs="仿宋_GB2312"/>
                <w:color w:val="000000"/>
                <w:sz w:val="28"/>
                <w:szCs w:val="28"/>
              </w:rPr>
            </w:pPr>
          </w:p>
        </w:tc>
        <w:tc>
          <w:tcPr>
            <w:tcW w:w="782" w:type="dxa"/>
            <w:vAlign w:val="center"/>
          </w:tcPr>
          <w:p>
            <w:pPr>
              <w:spacing w:line="300" w:lineRule="exact"/>
              <w:jc w:val="center"/>
            </w:pPr>
          </w:p>
        </w:tc>
        <w:tc>
          <w:tcPr>
            <w:tcW w:w="922" w:type="dxa"/>
            <w:vAlign w:val="center"/>
          </w:tcPr>
          <w:p>
            <w:pPr>
              <w:spacing w:line="300" w:lineRule="exact"/>
              <w:jc w:val="center"/>
            </w:pPr>
          </w:p>
        </w:tc>
        <w:tc>
          <w:tcPr>
            <w:tcW w:w="1435" w:type="dxa"/>
            <w:vAlign w:val="center"/>
          </w:tcPr>
          <w:p>
            <w:pPr>
              <w:spacing w:line="300" w:lineRule="exact"/>
              <w:rPr>
                <w:rFonts w:ascii="仿宋_GB2312" w:hAnsi="仿宋_GB2312" w:eastAsia="仿宋_GB2312" w:cs="仿宋_GB2312"/>
                <w:color w:val="000000"/>
                <w:sz w:val="28"/>
                <w:szCs w:val="28"/>
              </w:rPr>
            </w:pPr>
          </w:p>
        </w:tc>
        <w:tc>
          <w:tcPr>
            <w:tcW w:w="1136" w:type="dxa"/>
            <w:vAlign w:val="center"/>
          </w:tcPr>
          <w:p>
            <w:pPr>
              <w:spacing w:line="300" w:lineRule="exact"/>
              <w:jc w:val="center"/>
              <w:rPr>
                <w:rFonts w:ascii="仿宋_GB2312" w:hAnsi="仿宋_GB2312" w:eastAsia="仿宋_GB2312" w:cs="仿宋_GB2312"/>
                <w:color w:val="000000"/>
                <w:sz w:val="28"/>
                <w:szCs w:val="28"/>
              </w:rPr>
            </w:pPr>
          </w:p>
        </w:tc>
        <w:tc>
          <w:tcPr>
            <w:tcW w:w="675" w:type="dxa"/>
            <w:vAlign w:val="center"/>
          </w:tcPr>
          <w:p>
            <w:pPr>
              <w:spacing w:line="300" w:lineRule="exact"/>
              <w:jc w:val="center"/>
              <w:rPr>
                <w:rFonts w:ascii="仿宋_GB2312" w:hAnsi="仿宋_GB2312" w:eastAsia="仿宋_GB2312" w:cs="仿宋_GB2312"/>
                <w:color w:val="000000"/>
                <w:sz w:val="28"/>
                <w:szCs w:val="28"/>
              </w:rPr>
            </w:pPr>
          </w:p>
        </w:tc>
        <w:tc>
          <w:tcPr>
            <w:tcW w:w="921" w:type="dxa"/>
            <w:vAlign w:val="center"/>
          </w:tcPr>
          <w:p>
            <w:pPr>
              <w:spacing w:line="300" w:lineRule="exact"/>
              <w:jc w:val="center"/>
              <w:rPr>
                <w:rFonts w:ascii="仿宋_GB2312" w:hAnsi="仿宋_GB2312" w:eastAsia="仿宋_GB2312" w:cs="仿宋_GB2312"/>
                <w:color w:val="000000"/>
                <w:sz w:val="28"/>
                <w:szCs w:val="28"/>
              </w:rPr>
            </w:pPr>
          </w:p>
        </w:tc>
        <w:tc>
          <w:tcPr>
            <w:tcW w:w="983"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60" w:type="dxa"/>
            <w:vAlign w:val="center"/>
          </w:tcPr>
          <w:p>
            <w:pPr>
              <w:spacing w:line="3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right"/>
        </w:trPr>
        <w:tc>
          <w:tcPr>
            <w:tcW w:w="675" w:type="dxa"/>
            <w:vAlign w:val="center"/>
          </w:tcPr>
          <w:p>
            <w:pPr>
              <w:numPr>
                <w:ilvl w:val="0"/>
                <w:numId w:val="0"/>
              </w:numPr>
              <w:autoSpaceDN w:val="0"/>
              <w:spacing w:line="300" w:lineRule="exact"/>
              <w:ind w:leftChars="0"/>
              <w:jc w:val="both"/>
              <w:textAlignment w:val="center"/>
              <w:rPr>
                <w:rFonts w:ascii="仿宋_GB2312" w:hAnsi="仿宋_GB2312" w:eastAsia="仿宋_GB2312" w:cs="仿宋_GB2312"/>
                <w:sz w:val="28"/>
                <w:szCs w:val="28"/>
              </w:rPr>
            </w:pPr>
          </w:p>
        </w:tc>
        <w:tc>
          <w:tcPr>
            <w:tcW w:w="1071" w:type="dxa"/>
            <w:vAlign w:val="center"/>
          </w:tcPr>
          <w:p>
            <w:pPr>
              <w:spacing w:line="300" w:lineRule="exact"/>
              <w:jc w:val="center"/>
              <w:rPr>
                <w:rFonts w:ascii="仿宋_GB2312" w:hAnsi="仿宋_GB2312" w:eastAsia="仿宋_GB2312" w:cs="仿宋_GB2312"/>
                <w:color w:val="000000"/>
                <w:sz w:val="28"/>
                <w:szCs w:val="28"/>
              </w:rPr>
            </w:pPr>
          </w:p>
        </w:tc>
        <w:tc>
          <w:tcPr>
            <w:tcW w:w="1050" w:type="dxa"/>
            <w:vAlign w:val="center"/>
          </w:tcPr>
          <w:p>
            <w:pPr>
              <w:spacing w:line="300" w:lineRule="exact"/>
              <w:jc w:val="center"/>
              <w:rPr>
                <w:rFonts w:ascii="仿宋_GB2312" w:hAnsi="仿宋_GB2312" w:eastAsia="仿宋_GB2312" w:cs="仿宋_GB2312"/>
                <w:color w:val="000000"/>
                <w:sz w:val="28"/>
                <w:szCs w:val="28"/>
              </w:rPr>
            </w:pPr>
          </w:p>
        </w:tc>
        <w:tc>
          <w:tcPr>
            <w:tcW w:w="782" w:type="dxa"/>
            <w:vAlign w:val="center"/>
          </w:tcPr>
          <w:p>
            <w:pPr>
              <w:spacing w:line="300" w:lineRule="exact"/>
              <w:jc w:val="center"/>
            </w:pPr>
          </w:p>
        </w:tc>
        <w:tc>
          <w:tcPr>
            <w:tcW w:w="922" w:type="dxa"/>
            <w:vAlign w:val="center"/>
          </w:tcPr>
          <w:p>
            <w:pPr>
              <w:spacing w:line="300" w:lineRule="exact"/>
              <w:jc w:val="center"/>
            </w:pPr>
          </w:p>
        </w:tc>
        <w:tc>
          <w:tcPr>
            <w:tcW w:w="1435" w:type="dxa"/>
            <w:vAlign w:val="center"/>
          </w:tcPr>
          <w:p>
            <w:pPr>
              <w:spacing w:line="300" w:lineRule="exact"/>
              <w:rPr>
                <w:rFonts w:ascii="仿宋_GB2312" w:hAnsi="仿宋_GB2312" w:eastAsia="仿宋_GB2312" w:cs="仿宋_GB2312"/>
                <w:color w:val="000000"/>
                <w:sz w:val="28"/>
                <w:szCs w:val="28"/>
              </w:rPr>
            </w:pPr>
          </w:p>
        </w:tc>
        <w:tc>
          <w:tcPr>
            <w:tcW w:w="1136" w:type="dxa"/>
            <w:vAlign w:val="center"/>
          </w:tcPr>
          <w:p>
            <w:pPr>
              <w:spacing w:line="300" w:lineRule="exact"/>
              <w:jc w:val="center"/>
              <w:rPr>
                <w:rFonts w:ascii="仿宋_GB2312" w:hAnsi="仿宋_GB2312" w:eastAsia="仿宋_GB2312" w:cs="仿宋_GB2312"/>
                <w:color w:val="000000"/>
                <w:sz w:val="28"/>
                <w:szCs w:val="28"/>
              </w:rPr>
            </w:pPr>
          </w:p>
        </w:tc>
        <w:tc>
          <w:tcPr>
            <w:tcW w:w="675" w:type="dxa"/>
            <w:vAlign w:val="center"/>
          </w:tcPr>
          <w:p>
            <w:pPr>
              <w:spacing w:line="300" w:lineRule="exact"/>
              <w:jc w:val="center"/>
              <w:rPr>
                <w:rFonts w:ascii="仿宋_GB2312" w:hAnsi="仿宋_GB2312" w:eastAsia="仿宋_GB2312" w:cs="仿宋_GB2312"/>
                <w:color w:val="000000"/>
                <w:sz w:val="28"/>
                <w:szCs w:val="28"/>
              </w:rPr>
            </w:pPr>
          </w:p>
        </w:tc>
        <w:tc>
          <w:tcPr>
            <w:tcW w:w="921" w:type="dxa"/>
            <w:vAlign w:val="center"/>
          </w:tcPr>
          <w:p>
            <w:pPr>
              <w:spacing w:line="300" w:lineRule="exact"/>
              <w:jc w:val="center"/>
              <w:rPr>
                <w:rFonts w:ascii="仿宋_GB2312" w:hAnsi="仿宋_GB2312" w:eastAsia="仿宋_GB2312" w:cs="仿宋_GB2312"/>
                <w:color w:val="000000"/>
                <w:sz w:val="28"/>
                <w:szCs w:val="28"/>
              </w:rPr>
            </w:pPr>
          </w:p>
        </w:tc>
        <w:tc>
          <w:tcPr>
            <w:tcW w:w="983"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89" w:type="dxa"/>
            <w:vAlign w:val="center"/>
          </w:tcPr>
          <w:p>
            <w:pPr>
              <w:spacing w:line="300" w:lineRule="exact"/>
              <w:jc w:val="center"/>
              <w:rPr>
                <w:rFonts w:ascii="仿宋_GB2312" w:hAnsi="仿宋_GB2312" w:eastAsia="仿宋_GB2312" w:cs="仿宋_GB2312"/>
                <w:color w:val="000000"/>
                <w:sz w:val="28"/>
                <w:szCs w:val="28"/>
              </w:rPr>
            </w:pPr>
          </w:p>
        </w:tc>
        <w:tc>
          <w:tcPr>
            <w:tcW w:w="888" w:type="dxa"/>
            <w:vAlign w:val="center"/>
          </w:tcPr>
          <w:p>
            <w:pPr>
              <w:spacing w:line="300" w:lineRule="exact"/>
              <w:jc w:val="center"/>
              <w:rPr>
                <w:rFonts w:ascii="仿宋_GB2312" w:hAnsi="仿宋_GB2312" w:eastAsia="仿宋_GB2312" w:cs="仿宋_GB2312"/>
                <w:color w:val="000000"/>
                <w:sz w:val="28"/>
                <w:szCs w:val="28"/>
              </w:rPr>
            </w:pPr>
          </w:p>
        </w:tc>
        <w:tc>
          <w:tcPr>
            <w:tcW w:w="860" w:type="dxa"/>
            <w:vAlign w:val="center"/>
          </w:tcPr>
          <w:p>
            <w:pPr>
              <w:spacing w:line="300" w:lineRule="exact"/>
              <w:jc w:val="center"/>
              <w:rPr>
                <w:rFonts w:ascii="仿宋_GB2312" w:hAnsi="仿宋_GB2312" w:eastAsia="仿宋_GB2312" w:cs="仿宋_GB2312"/>
                <w:color w:val="000000"/>
                <w:sz w:val="28"/>
                <w:szCs w:val="28"/>
              </w:rPr>
            </w:pPr>
          </w:p>
        </w:tc>
      </w:tr>
    </w:tbl>
    <w:p>
      <w:pPr>
        <w:spacing w:line="340" w:lineRule="exact"/>
      </w:pPr>
      <w:r>
        <w:rPr>
          <w:rFonts w:hint="eastAsia" w:ascii="仿宋_GB2312" w:hAnsi="仿宋_GB2312" w:eastAsia="仿宋_GB2312" w:cs="仿宋_GB2312"/>
          <w:kern w:val="0"/>
          <w:sz w:val="24"/>
        </w:rPr>
        <w:t>注：1.资质证书编号：请按照资质证书编号的顺序填写，甲级、乙级、丙级机构应分类填写；2.资质等级：填写甲级、乙级、丙级；3.经培训合格专业技术人员数：是指经机构自行培训合格或委托其他社会机构培训合格的专业技术人员数量；4.机构类型：根据单位隶属关系填写，安全监管系统所属单位填“1”、卫生计生系统所属单位填“2”、其他国有企事业单位填“3”、民营单位填“4”；5.首次资质认可机关：机构现有等级资质首次发证机关类别，填写“安全监管部门”或“卫生部门”；6.评价项目：包括预评价、控制效果评价和现状评价；7.检测项目：指用人单位职业病危害因素定期检测；8.安全评价资质等级：调查取得安全评价机构资质的情况，填写“甲级”“乙级”或“无”；9.安全生产检测检验资质等级：调查取得安全生产检测检验机构资质的情况，填写“甲级”“乙级”或“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9460D"/>
    <w:rsid w:val="5F794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2017-12-22T00:19:00Z</dcterms:created>
  <dc:creator>Administrator</dc:creator>
  <cp:lastModifiedBy>Administrator</cp:lastModifiedBy>
  <dcterms:modified xsi:type="dcterms:W3CDTF">2017-12-22T00:21:01Z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